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3010C" w:rsidRPr="00B4603A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70F7E" w:rsidRPr="00B4603A" w:rsidRDefault="005868E7" w:rsidP="00C85D0F">
            <w:pPr>
              <w:pStyle w:val="EPName"/>
            </w:pPr>
            <w:r w:rsidRPr="00B4603A">
              <w:t>Parlament Europejski</w:t>
            </w:r>
          </w:p>
          <w:p w:rsidR="00770F7E" w:rsidRPr="00B4603A" w:rsidRDefault="005868E7" w:rsidP="00214EBC">
            <w:pPr>
              <w:pStyle w:val="EPTerm"/>
            </w:pPr>
            <w:r w:rsidRPr="00B4603A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70F7E" w:rsidRPr="00B4603A" w:rsidRDefault="005868E7" w:rsidP="00C85D0F">
            <w:pPr>
              <w:pStyle w:val="EPLogo"/>
            </w:pPr>
            <w:r w:rsidRPr="00B4603A">
              <w:rPr>
                <w:lang w:eastAsia="fr-FR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653114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F3B" w:rsidRPr="00B4603A" w:rsidRDefault="00586F3B" w:rsidP="00586F3B">
      <w:pPr>
        <w:pStyle w:val="LineTop"/>
      </w:pPr>
    </w:p>
    <w:p w:rsidR="00586F3B" w:rsidRPr="00B4603A" w:rsidRDefault="005868E7" w:rsidP="00586F3B">
      <w:pPr>
        <w:pStyle w:val="EPBody"/>
      </w:pPr>
      <w:r w:rsidRPr="00B4603A">
        <w:rPr>
          <w:rStyle w:val="HideTWBExt"/>
          <w:noProof w:val="0"/>
          <w:color w:val="auto"/>
        </w:rPr>
        <w:t>&lt;</w:t>
      </w:r>
      <w:r w:rsidRPr="00B4603A">
        <w:rPr>
          <w:rStyle w:val="HideTWBExt"/>
          <w:i w:val="0"/>
          <w:noProof w:val="0"/>
          <w:color w:val="auto"/>
        </w:rPr>
        <w:t>Commission</w:t>
      </w:r>
      <w:r w:rsidRPr="00B4603A">
        <w:rPr>
          <w:rStyle w:val="HideTWBExt"/>
          <w:noProof w:val="0"/>
          <w:color w:val="auto"/>
        </w:rPr>
        <w:t>&gt;</w:t>
      </w:r>
      <w:r w:rsidRPr="00B4603A">
        <w:rPr>
          <w:rStyle w:val="HideTWBInt"/>
          <w:color w:val="auto"/>
        </w:rPr>
        <w:t>{PETI}</w:t>
      </w:r>
      <w:r w:rsidRPr="00B4603A">
        <w:t>Komisja Petycji</w:t>
      </w:r>
      <w:r w:rsidRPr="00B4603A">
        <w:rPr>
          <w:rStyle w:val="HideTWBExt"/>
          <w:noProof w:val="0"/>
          <w:color w:val="auto"/>
        </w:rPr>
        <w:t>&lt;/</w:t>
      </w:r>
      <w:r w:rsidRPr="00B4603A">
        <w:rPr>
          <w:rStyle w:val="HideTWBExt"/>
          <w:i w:val="0"/>
          <w:noProof w:val="0"/>
          <w:color w:val="auto"/>
        </w:rPr>
        <w:t>Commission</w:t>
      </w:r>
      <w:r w:rsidRPr="00B4603A">
        <w:rPr>
          <w:rStyle w:val="HideTWBExt"/>
          <w:noProof w:val="0"/>
          <w:color w:val="auto"/>
        </w:rPr>
        <w:t>&gt;</w:t>
      </w:r>
    </w:p>
    <w:p w:rsidR="00586F3B" w:rsidRPr="00B4603A" w:rsidRDefault="00586F3B" w:rsidP="00586F3B">
      <w:pPr>
        <w:pStyle w:val="LineBottom"/>
      </w:pPr>
    </w:p>
    <w:p w:rsidR="00C26FE8" w:rsidRPr="00B4603A" w:rsidRDefault="005868E7" w:rsidP="00C26FE8">
      <w:pPr>
        <w:pStyle w:val="HeadingDateNoRef"/>
      </w:pPr>
      <w:r w:rsidRPr="00B4603A">
        <w:rPr>
          <w:rStyle w:val="HideTWBExt"/>
          <w:noProof w:val="0"/>
          <w:color w:val="auto"/>
        </w:rPr>
        <w:t>&lt;Date&gt;</w:t>
      </w:r>
      <w:r w:rsidRPr="00B4603A">
        <w:rPr>
          <w:rStyle w:val="HideTWBInt"/>
          <w:color w:val="auto"/>
        </w:rPr>
        <w:t>{23/03/2021}</w:t>
      </w:r>
      <w:r w:rsidRPr="00B4603A">
        <w:t>23.3.2021</w:t>
      </w:r>
      <w:r w:rsidRPr="00B4603A">
        <w:rPr>
          <w:rStyle w:val="HideTWBExt"/>
          <w:noProof w:val="0"/>
          <w:color w:val="auto"/>
        </w:rPr>
        <w:t>&lt;/Date&gt;</w:t>
      </w:r>
    </w:p>
    <w:p w:rsidR="00742098" w:rsidRPr="00B4603A" w:rsidRDefault="005868E7" w:rsidP="00742098">
      <w:pPr>
        <w:pStyle w:val="HeadingDocType"/>
      </w:pPr>
      <w:r w:rsidRPr="00B4603A">
        <w:rPr>
          <w:rStyle w:val="HideTWBExt"/>
          <w:b w:val="0"/>
          <w:noProof w:val="0"/>
          <w:color w:val="auto"/>
        </w:rPr>
        <w:t>&lt;TitreType&gt;</w:t>
      </w:r>
      <w:r w:rsidRPr="00B4603A">
        <w:t>KOMUNIKAT DLA POSŁÓW</w:t>
      </w:r>
      <w:r w:rsidRPr="00B4603A">
        <w:rPr>
          <w:rStyle w:val="HideTWBExt"/>
          <w:b w:val="0"/>
          <w:noProof w:val="0"/>
          <w:color w:val="auto"/>
        </w:rPr>
        <w:t>&lt;/TitreType&gt;</w:t>
      </w:r>
    </w:p>
    <w:p w:rsidR="00742098" w:rsidRPr="00B4603A" w:rsidRDefault="005868E7" w:rsidP="00742098">
      <w:pPr>
        <w:pStyle w:val="HeadingSubject"/>
      </w:pPr>
      <w:r w:rsidRPr="00B4603A">
        <w:t>Przedmiot:</w:t>
      </w:r>
      <w:r w:rsidRPr="00B4603A">
        <w:tab/>
      </w:r>
      <w:r w:rsidRPr="00B4603A">
        <w:rPr>
          <w:rStyle w:val="HideTWBExt"/>
          <w:noProof w:val="0"/>
          <w:color w:val="auto"/>
        </w:rPr>
        <w:t>&lt;TITRE&gt;</w:t>
      </w:r>
      <w:r w:rsidRPr="00B4603A">
        <w:t>Petycja nr 0677/2020, którą złożyła A. S. (Polska), w imieniu Stowarzyszenia Rozwoju Innowacyjności Energetycznej w Zgorzelcu, z 27 000 podpisów, w sprawie sprzeciwu wobec natychmiastowego zamknięcia Kopalni Węgla Brunatnego w Turowie (Polska)</w:t>
      </w:r>
      <w:r w:rsidRPr="00B4603A">
        <w:rPr>
          <w:rStyle w:val="HideTWBExt"/>
          <w:noProof w:val="0"/>
          <w:color w:val="auto"/>
        </w:rPr>
        <w:t>&lt;/TITRE&gt;</w:t>
      </w:r>
    </w:p>
    <w:p w:rsidR="00742098" w:rsidRPr="00B4603A" w:rsidRDefault="005868E7" w:rsidP="00D339E0">
      <w:pPr>
        <w:pStyle w:val="NormalBoldHanging12a"/>
      </w:pPr>
      <w:r w:rsidRPr="00B4603A">
        <w:t>1.</w:t>
      </w:r>
      <w:r w:rsidRPr="00B4603A">
        <w:tab/>
        <w:t>Streszczenie petycji</w:t>
      </w:r>
    </w:p>
    <w:p w:rsidR="00742098" w:rsidRPr="00B4603A" w:rsidRDefault="005868E7" w:rsidP="005F3572">
      <w:pPr>
        <w:pStyle w:val="Normal12a"/>
      </w:pPr>
      <w:r w:rsidRPr="00B4603A">
        <w:t xml:space="preserve">Składająca petycję wyraża obawy mieszkańców przygranicznych regionów Polski, Republiki Czeskiej i Niemiec w związku z domniemanymi narastającymi atakami ze strony czeskich sąsiadów, które są wspierane przez różne organizacje ekologiczne z Republiki Czeskiej i rzekomo mają na celu zamknięcie kompleksu górniczo-energetycznego w Turowie. Twierdzi ona, że kompleks górniczo-energetyczny w Turowie w ciągu ponad 100 lat działalności zawsze reagował na wszelkie zastrzeżenia ze strony czeskich i niemieckich sąsiadów i dostosowywał się do zmieniających się warunków związanych z ekologią i ochroną środowiska. Obecnie władze kopalni złożyły wniosek o kontynuowanie działalności wydobywczej na istniejącym obszarze górniczym przez sześć lat, a ponadto zmniejszyły strefę działalności kopalni o kilkadziesiąt kilometrów kwadratowych. Spotkało się to z silnym oporem i krytyką ze strony niektórych mieszkańców miast przygranicznych, którzy złożyli do Komisji Petycji Parlamentu Europejskiego skargę dotyczącą zamknięcia kopalni w Turowie, podpisaną przez 13 000 mieszkańców kraju libereckiego. Składająca petycję twierdzi, że kompleks górniczo-energetyczny w Turowie zapewnia bezpośrednio zatrudnienie około 5 000 mieszkańców powiatów bolesławieckiego, lubańskiego i zgorzeleckiego oraz 10 000 osób pracujących w przedsiębiorstwach działających na potrzeby tego kompleksu. Kompleks ten od lat jest jedynym pracodawcą i źródłem dochodu tysięcy rodzin. Jego likwidacja oznaczałaby całkowite załamanie się rynku pracy i dramatyczne zmiany społeczne. Zdaniem składającej petycję za kilkadziesiąt lat zarówno kopalnia, jak i elektrownia zaprzestaną działalności, tak jak ma to miejsce w przypadku elektrowni opalanych węglem brunatnym w krajach sąsiadujących, ale będzie to długotrwały proces rozłożony na lata. Ponadto twierdzi ona, że protesty wyraźnie dotyczą jedynie polskiej inwestycji, chociaż w pobliżu funkcjonują </w:t>
      </w:r>
      <w:r w:rsidRPr="00B4603A">
        <w:lastRenderedPageBreak/>
        <w:t>znacznie większe czeskie i niemieckie kopalnie węgla brunatnego. Składająca petycję popiera kontynuację działalności wydobywczej w Kopalni Węgla Brunatnego Turów w nadchodzących latach i jednocześnie zwraca się o wsparcie dla działań mających na celu tworzenie miejsc pracy w tym regionie w nadchodzących latach po zamknięciu kompleksu górniczo-energetycznego w Turowie.</w:t>
      </w:r>
    </w:p>
    <w:p w:rsidR="00742098" w:rsidRPr="00B4603A" w:rsidRDefault="005868E7" w:rsidP="00D339E0">
      <w:pPr>
        <w:pStyle w:val="NormalBoldHanging12a"/>
      </w:pPr>
      <w:r w:rsidRPr="00B4603A">
        <w:t>2.</w:t>
      </w:r>
      <w:r w:rsidRPr="00B4603A">
        <w:tab/>
        <w:t>Dopuszczalność</w:t>
      </w:r>
    </w:p>
    <w:p w:rsidR="00742098" w:rsidRPr="00B4603A" w:rsidRDefault="005868E7" w:rsidP="005F3572">
      <w:pPr>
        <w:pStyle w:val="Normal12a"/>
      </w:pPr>
      <w:r w:rsidRPr="00B4603A">
        <w:t>Petycja została uznana za dopuszczalną dnia 9 listopada 2020 r. Zwrócono się do Komisji o przekazanie informacji (art. 227 ust. 6 Regulaminu).</w:t>
      </w:r>
    </w:p>
    <w:p w:rsidR="00742098" w:rsidRPr="00B4603A" w:rsidRDefault="005868E7" w:rsidP="00D339E0">
      <w:pPr>
        <w:pStyle w:val="NormalBoldHanging12a"/>
      </w:pPr>
      <w:r w:rsidRPr="00B4603A">
        <w:t>3.</w:t>
      </w:r>
      <w:r w:rsidRPr="00B4603A">
        <w:tab/>
        <w:t xml:space="preserve">Odpowiedź Komisji </w:t>
      </w:r>
      <w:r w:rsidRPr="00B4603A">
        <w:rPr>
          <w:b w:val="0"/>
        </w:rPr>
        <w:t>otrzymana 23 marca 2021 r.</w:t>
      </w:r>
    </w:p>
    <w:p w:rsidR="00214EBC" w:rsidRPr="00B4603A" w:rsidRDefault="005868E7" w:rsidP="00214EBC">
      <w:pPr>
        <w:widowControl/>
        <w:spacing w:before="240" w:after="240"/>
        <w:ind w:left="360" w:hanging="360"/>
        <w:jc w:val="both"/>
        <w:rPr>
          <w:szCs w:val="24"/>
        </w:rPr>
      </w:pPr>
      <w:r w:rsidRPr="00B4603A">
        <w:t>1)</w:t>
      </w:r>
      <w:r w:rsidRPr="00B4603A">
        <w:tab/>
        <w:t xml:space="preserve">Podsumowanie uwag Komisji przedstawionych na posiedzeniu Komisji Petycji w dniu 2 grudnia 2020 r. </w:t>
      </w:r>
    </w:p>
    <w:p w:rsidR="00214EBC" w:rsidRPr="00B4603A" w:rsidRDefault="005868E7" w:rsidP="00214EBC">
      <w:pPr>
        <w:spacing w:before="240" w:after="240"/>
        <w:jc w:val="both"/>
        <w:outlineLvl w:val="0"/>
        <w:rPr>
          <w:szCs w:val="24"/>
        </w:rPr>
      </w:pPr>
      <w:r w:rsidRPr="00B4603A">
        <w:t>Komisja wyjaśniła, że tocząca się dyskusja nie dotyczy zamknięcia kopalni w Turowie, ale zgodności przedłużenia koncesji na wydobycie z prawem UE w zakresie ochrony środowiska (dyrektywą w sprawie oceny oddziaływania na środowisko (OOŚ)</w:t>
      </w:r>
      <w:r w:rsidRPr="00B4603A">
        <w:rPr>
          <w:szCs w:val="24"/>
          <w:lang w:eastAsia="fr-FR"/>
        </w:rPr>
        <w:footnoteReference w:id="1"/>
      </w:r>
      <w:r w:rsidRPr="00B4603A">
        <w:t>, dyrektywą w sprawie strategicznej oceny oddziaływania na środowisko</w:t>
      </w:r>
      <w:r w:rsidRPr="00B4603A">
        <w:rPr>
          <w:szCs w:val="24"/>
          <w:lang w:eastAsia="fr-FR"/>
        </w:rPr>
        <w:footnoteReference w:id="2"/>
      </w:r>
      <w:r w:rsidRPr="00B4603A">
        <w:t>, dyrektywą w sprawie swobody dostępu do informacji</w:t>
      </w:r>
      <w:r w:rsidRPr="00B4603A">
        <w:rPr>
          <w:szCs w:val="24"/>
          <w:lang w:eastAsia="fr-FR"/>
        </w:rPr>
        <w:footnoteReference w:id="3"/>
      </w:r>
      <w:r w:rsidRPr="00B4603A">
        <w:t xml:space="preserve"> oraz ramową dyrektywą wodną</w:t>
      </w:r>
      <w:r w:rsidRPr="00B4603A">
        <w:rPr>
          <w:szCs w:val="24"/>
          <w:lang w:eastAsia="fr-FR"/>
        </w:rPr>
        <w:footnoteReference w:id="4"/>
      </w:r>
      <w:r w:rsidRPr="00B4603A">
        <w:t xml:space="preserve">). Chodzi zatem o procedurę prowadzącą do przedłużenia koncesji na wydobycie i ewentualnych dostosowań pozwolenia (środki łagodzące), aby zmniejszyć oddziaływanie kopalni na środowisko. </w:t>
      </w:r>
    </w:p>
    <w:p w:rsidR="00214EBC" w:rsidRPr="00B4603A" w:rsidRDefault="005868E7" w:rsidP="00214EBC">
      <w:pPr>
        <w:spacing w:before="240" w:after="240"/>
        <w:jc w:val="both"/>
        <w:outlineLvl w:val="0"/>
        <w:rPr>
          <w:rFonts w:eastAsia="Calibri"/>
          <w:szCs w:val="24"/>
        </w:rPr>
      </w:pPr>
      <w:r w:rsidRPr="00B4603A">
        <w:t>Komisja poinformowała, że obecnie rozpatruje skargę międzypaństwową na podstawie art. 259 Traktatu o funkcjonowaniu Unii Europejskiej (TFUE), którą złożyły władze czeskie w związku z przedłużeniem koncesji na wydobycie dla kopalni w Turowie.</w:t>
      </w:r>
    </w:p>
    <w:p w:rsidR="00214EBC" w:rsidRPr="00B4603A" w:rsidRDefault="005868E7" w:rsidP="00214EBC">
      <w:pPr>
        <w:widowControl/>
        <w:spacing w:before="240" w:after="240"/>
        <w:ind w:left="360" w:hanging="360"/>
        <w:jc w:val="both"/>
        <w:rPr>
          <w:szCs w:val="24"/>
        </w:rPr>
      </w:pPr>
      <w:r w:rsidRPr="00B4603A">
        <w:t>2)</w:t>
      </w:r>
      <w:r w:rsidRPr="00B4603A">
        <w:tab/>
        <w:t>Odpowiedź Komisji na argumenty przedstawione przez składającą petycję podczas posiedzenia Komisji Petycji 2 grudnia 2020 r.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>Komisja zwraca uwagę, że celem Funduszu na rzecz Sprawiedliwej Transformacji (FST) nie jest wspieranie samych projektów w zakresie transformacji energetycznej, lecz wspieranie terytoriów zmagających się z poważnymi wyzwaniami społeczno-gospodarczymi wynikającymi z tej transformacji. Z informacji Komisji wynika, że wydobycie węgla brunatnego w kopalni Turów planowane jest do 2044 r. oraz że w 2021 r. ma zostać oddana do użytku nowa jednostka elektrowni w Turowie opalana węglem brunatnym. Należy zauważyć, że obszary, w których transformacja nie jest planowana lub będzie miała miejsce po 2030 r., a zatem poza ramami czasowymi określonymi w rozporządzeniu w sprawie FST</w:t>
      </w:r>
      <w:r w:rsidRPr="00B4603A">
        <w:rPr>
          <w:szCs w:val="24"/>
        </w:rPr>
        <w:footnoteReference w:id="5"/>
      </w:r>
      <w:r w:rsidRPr="00B4603A">
        <w:t xml:space="preserve">, nie mogą być wspierane z FST. </w:t>
      </w:r>
    </w:p>
    <w:p w:rsidR="00214EBC" w:rsidRPr="00B4603A" w:rsidRDefault="005868E7" w:rsidP="00214EBC">
      <w:pPr>
        <w:spacing w:before="240" w:after="240"/>
        <w:jc w:val="both"/>
        <w:rPr>
          <w:rFonts w:eastAsia="Calibri"/>
          <w:szCs w:val="24"/>
        </w:rPr>
      </w:pPr>
      <w:r w:rsidRPr="00B4603A">
        <w:t>Terytorialne plany sprawiedliwej transformacji muszą zawierać m.in. opis procesu transformacji na szczeblu krajowym w kierunku gospodarki neutralnej dla klimatu, w tym harmonogram głównych etapów transformacji, które są zgodne z najnowszą wersją krajowego planu w dziedzinie energii i klimatu. Samo istnienie działalności związanej z węglem w niektórych obszarach oraz potrzeby wsparcia w niektórych dziedzinach (np. odnawialne źródła energii (OZE), rewitalizacja) nie oznaczają, że spełniony jest warunek dostępu do dodatkowego, ukierunkowanego wsparcia z FST.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>Należy jednak podkreślić, że brak finansowania z FST nie oznacza, że nie istnieją inne możliwości finansowania, aby wesprzeć projekty transformacji z funduszy UE. Komisja zachęca zainteresowane strony, aby ubiegały się o fundusze polityki spójności UE w ramach regionalnych lub krajowych programów operacyjnych na rzecz rozwoju projektów ekologicznych, w odniesieniu do których region posiada już pewne doświadczenie ze względu na aktywny udział w opracowywaniu projektów w ramach inicjatywy dla regionów górniczych w okresie transformacji</w:t>
      </w:r>
      <w:r w:rsidRPr="00B4603A">
        <w:rPr>
          <w:szCs w:val="24"/>
        </w:rPr>
        <w:footnoteReference w:id="6"/>
      </w:r>
      <w:r w:rsidRPr="00B4603A">
        <w:t>. Zasoby te mogą być wykorzystane np. na rewitalizację terenów po kopalni, inwestycje w odnawialne źródła energii lub wsparcie dla małych i średnich przedsiębiorstw (MŚP).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>Jeśli chodzi o dekarbonizację produkcji energii w elektrowni w Turowie, instalacja ta mogłaby skorzystać ze wsparcia z funduszy systemu handlu uprawnieniami do emisji (ETS).</w:t>
      </w:r>
    </w:p>
    <w:p w:rsidR="00214EBC" w:rsidRPr="00B4603A" w:rsidRDefault="005868E7" w:rsidP="00214EBC">
      <w:pPr>
        <w:widowControl/>
        <w:spacing w:before="240" w:after="240"/>
        <w:ind w:left="360" w:hanging="360"/>
        <w:jc w:val="both"/>
        <w:rPr>
          <w:szCs w:val="24"/>
        </w:rPr>
      </w:pPr>
      <w:bookmarkStart w:id="0" w:name="_GoBack"/>
      <w:bookmarkEnd w:id="0"/>
      <w:r w:rsidRPr="00B4603A">
        <w:t>3)</w:t>
      </w:r>
      <w:r w:rsidRPr="00B4603A">
        <w:tab/>
        <w:t xml:space="preserve">Aktualna sytuacja i nowe fakty od czasu posiedzenia Komisji Petycji w dniu 2 grudnia 2020 r. 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 xml:space="preserve">W dniu 17 grudnia 2020 r. Komisja wydała uzasadnioną opinię w sprawie skargi międzypaństwowej złożonej przez władze czeskie. 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>Komisja stwierdziła, że Polska popełniła pewne naruszenia prawa UE, które Czechy podnosiły w swojej skardze, ale nie wszystkie.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>Po pierwsze Komisja uznała, że polskie prawo nieprawidłowo transponuje art. 11 dyrektywy w sprawie oceny oddziaływania na środowisko (2011/92/UE), który przyznaje członkom zainteresowanej społeczności dostęp do procedury odwoławczej przed sądem. Brak zgodności odpowiedniego polskiego prawa z dyrektywą 2011/92/UE jest również przedmiotem toczącego się postępowania w sprawie uchybienia zobowiązaniom państwa członkowskiego zgodnie z art. 258 TFUE.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>Po drugie w kontekście procedury przedłużania koncesji na wydobycie dla kopalni węgla brunatnego w Turowie Komisja uznała, że władze polskie nieprawidłowo stosowały przepisy dyrektywy w sprawie oceny oddziaływania na środowisko (2011/92/UE) i dyrektywy w sprawie dostępu do informacji (2003/4/WE) w odniesieniu do informowania społeczeństwa i państw członkowskich zaangażowanych w konsultacje transgraniczne, dostępu do wymiaru sprawiedliwości, a także zasady lojalnej współpracy zapisanej w art. 4 ust. 3 Traktatu o Unii Europejskiej (TUE).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>Inne naruszenia zarzucane przez Czechy, w szczególności w odniesieniu do dyrektywy w sprawie strategicznej oceny oddziaływania na środowisko (2001/42/WE) i ramowej dyrektywy wodnej (2000/60/WE), zostały uznane przez Komisję za nieuzasadnione w świetle dowodów i argumentów przedstawionych przez oba państwa członkowskie.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 xml:space="preserve">Szczegółowe informacje opublikowano w komunikacie prasowym: </w:t>
      </w:r>
      <w:hyperlink r:id="rId8" w:history="1">
        <w:r w:rsidRPr="00B4603A">
          <w:rPr>
            <w:rStyle w:val="Hyperlink"/>
            <w:color w:val="auto"/>
          </w:rPr>
          <w:t>https://ec.europa.eu/commission/presscorner/detail/pl/IP_20_2452</w:t>
        </w:r>
      </w:hyperlink>
      <w:r w:rsidRPr="00B4603A">
        <w:t xml:space="preserve"> 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>Po przyjęciu przez Komisję uzasadnionej opinii w dniu 26 lutego 2021 r. Czechy skierowały sprawę do Trybunału Sprawiedliwości Unii Europejskiej (sprawa C-121/21), w tym wniosek o zastosowanie środków tymczasowych (sprawa C-121/21 R)</w:t>
      </w:r>
      <w:r w:rsidRPr="00B4603A">
        <w:rPr>
          <w:szCs w:val="24"/>
        </w:rPr>
        <w:footnoteReference w:id="7"/>
      </w:r>
      <w:r w:rsidRPr="00B4603A">
        <w:t>. Komisja może wystąpić z wnioskiem o dopuszczenie do sprawy w charakterze interwenienta w celu przedstawienia uwag.</w:t>
      </w:r>
    </w:p>
    <w:p w:rsidR="00214EBC" w:rsidRPr="00B4603A" w:rsidRDefault="005868E7" w:rsidP="00214EBC">
      <w:pPr>
        <w:spacing w:before="240" w:after="240"/>
        <w:jc w:val="both"/>
        <w:rPr>
          <w:szCs w:val="24"/>
          <w:u w:val="single"/>
        </w:rPr>
      </w:pPr>
      <w:r w:rsidRPr="00B4603A">
        <w:rPr>
          <w:u w:val="single"/>
        </w:rPr>
        <w:t>Wniosek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 xml:space="preserve">Komisja wypełniła swoją rolę instytucjonalną, zgodnie z art. 259 TFUE. 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 xml:space="preserve">Wydana uzasadniona opinia zawiera informacje dla obu zainteresowanych państw członkowskich dotyczące stanowiska Komisji na temat tego, czy doszło do naruszenia prawa Unii, oraz mogące im pomóc w rozpoznaniu sprawy pod względem merytorycznym. Dostarcza ona również Trybunałowi Sprawiedliwości Unii Europejskiej wyjaśnienie i ocenę sprawy z punktu widzenia Komisji w ramach toczącego się postępowania w sprawie C-121/21. </w:t>
      </w:r>
    </w:p>
    <w:p w:rsidR="00214EBC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>Komisja może wystąpić z wnioskiem o dopuszczenie do udziału w toczącej się procedurze w sprawie C-121/21 w celu przedstawienia uwag.</w:t>
      </w:r>
    </w:p>
    <w:p w:rsidR="00742098" w:rsidRPr="00B4603A" w:rsidRDefault="005868E7" w:rsidP="00214EBC">
      <w:pPr>
        <w:spacing w:before="240" w:after="240"/>
        <w:jc w:val="both"/>
        <w:rPr>
          <w:szCs w:val="24"/>
        </w:rPr>
      </w:pPr>
      <w:r w:rsidRPr="00B4603A">
        <w:t>Komisja nie zakwalifikowała podregionu Bogatynia (Polska) do obszarów, które mogą dostać wsparcie z FST, ponieważ na obszarze tym nie odbywa się proces transformacji w kierunku neutralnej dla klimatu gospodarki ze względu na możliwe przedłużenie wydobycia węgla brunatnego po 2030 r. oraz otwarcie nowej jednostki elektrowni w Turowie opalanej węglem brunatnym.</w:t>
      </w:r>
    </w:p>
    <w:p w:rsidR="00742098" w:rsidRPr="00B4603A" w:rsidRDefault="00742098" w:rsidP="00005580">
      <w:pPr>
        <w:widowControl/>
      </w:pPr>
    </w:p>
    <w:sectPr w:rsidR="00742098" w:rsidRPr="00B4603A" w:rsidSect="00DB5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87" w:rsidRPr="00DB5875" w:rsidRDefault="005868E7">
      <w:r w:rsidRPr="00DB5875">
        <w:separator/>
      </w:r>
    </w:p>
  </w:endnote>
  <w:endnote w:type="continuationSeparator" w:id="0">
    <w:p w:rsidR="005C0287" w:rsidRPr="00DB5875" w:rsidRDefault="005868E7">
      <w:r w:rsidRPr="00DB58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75" w:rsidRPr="00DB5875" w:rsidRDefault="00DB5875" w:rsidP="00DB5875">
    <w:pPr>
      <w:pStyle w:val="EPFooter"/>
    </w:pPr>
    <w:r w:rsidRPr="00DB5875">
      <w:t>PE</w:t>
    </w:r>
    <w:r w:rsidRPr="00DB5875">
      <w:rPr>
        <w:rStyle w:val="HideTWBExt"/>
        <w:noProof w:val="0"/>
      </w:rPr>
      <w:t>&lt;NoPE&gt;</w:t>
    </w:r>
    <w:r w:rsidRPr="00DB5875">
      <w:t>691.118</w:t>
    </w:r>
    <w:r w:rsidRPr="00DB5875">
      <w:rPr>
        <w:rStyle w:val="HideTWBExt"/>
        <w:noProof w:val="0"/>
      </w:rPr>
      <w:t>&lt;/NoPE&gt;&lt;Version&gt;</w:t>
    </w:r>
    <w:r w:rsidRPr="00DB5875">
      <w:t>v01-00</w:t>
    </w:r>
    <w:r w:rsidRPr="00DB5875">
      <w:rPr>
        <w:rStyle w:val="HideTWBExt"/>
        <w:noProof w:val="0"/>
      </w:rPr>
      <w:t>&lt;/Version&gt;</w:t>
    </w:r>
    <w:r w:rsidRPr="00DB5875">
      <w:tab/>
    </w:r>
    <w:r w:rsidRPr="00DB5875">
      <w:fldChar w:fldCharType="begin"/>
    </w:r>
    <w:r w:rsidRPr="00DB5875">
      <w:instrText xml:space="preserve"> PAGE  \* MERGEFORMAT </w:instrText>
    </w:r>
    <w:r w:rsidRPr="00DB5875">
      <w:fldChar w:fldCharType="separate"/>
    </w:r>
    <w:r w:rsidR="00B4603A">
      <w:rPr>
        <w:noProof/>
      </w:rPr>
      <w:t>4</w:t>
    </w:r>
    <w:r w:rsidRPr="00DB5875">
      <w:fldChar w:fldCharType="end"/>
    </w:r>
    <w:r w:rsidRPr="00DB5875">
      <w:t>/</w:t>
    </w:r>
    <w:fldSimple w:instr=" NUMPAGES  \* MERGEFORMAT ">
      <w:r w:rsidR="00B4603A">
        <w:rPr>
          <w:noProof/>
        </w:rPr>
        <w:t>4</w:t>
      </w:r>
    </w:fldSimple>
    <w:r w:rsidRPr="00DB5875">
      <w:tab/>
    </w:r>
    <w:r w:rsidRPr="00DB5875">
      <w:rPr>
        <w:rStyle w:val="HideTWBExt"/>
        <w:noProof w:val="0"/>
      </w:rPr>
      <w:t>&lt;PathFdR&gt;</w:t>
    </w:r>
    <w:r w:rsidRPr="00DB5875">
      <w:t>CM\1227630PL.docx</w:t>
    </w:r>
    <w:r w:rsidRPr="00DB5875">
      <w:rPr>
        <w:rStyle w:val="HideTWBExt"/>
        <w:noProof w:val="0"/>
      </w:rPr>
      <w:t>&lt;/PathFdR&gt;</w:t>
    </w:r>
  </w:p>
  <w:p w:rsidR="00515EFE" w:rsidRPr="00DB5875" w:rsidRDefault="00DB5875" w:rsidP="00DB5875">
    <w:pPr>
      <w:pStyle w:val="EPFooter2"/>
    </w:pPr>
    <w:r w:rsidRPr="00DB5875"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75" w:rsidRPr="00DB5875" w:rsidRDefault="00DB5875" w:rsidP="00DB5875">
    <w:pPr>
      <w:pStyle w:val="EPFooter"/>
    </w:pPr>
    <w:r w:rsidRPr="00DB5875">
      <w:rPr>
        <w:rStyle w:val="HideTWBExt"/>
        <w:noProof w:val="0"/>
      </w:rPr>
      <w:t>&lt;PathFdR&gt;</w:t>
    </w:r>
    <w:r w:rsidRPr="00DB5875">
      <w:t>CM\1227630PL.docx</w:t>
    </w:r>
    <w:r w:rsidRPr="00DB5875">
      <w:rPr>
        <w:rStyle w:val="HideTWBExt"/>
        <w:noProof w:val="0"/>
      </w:rPr>
      <w:t>&lt;/PathFdR&gt;</w:t>
    </w:r>
    <w:r w:rsidRPr="00DB5875">
      <w:tab/>
    </w:r>
    <w:r w:rsidRPr="00DB5875">
      <w:fldChar w:fldCharType="begin"/>
    </w:r>
    <w:r w:rsidRPr="00DB5875">
      <w:instrText xml:space="preserve"> PAGE  \* MERGEFORMAT </w:instrText>
    </w:r>
    <w:r w:rsidRPr="00DB5875">
      <w:fldChar w:fldCharType="separate"/>
    </w:r>
    <w:r w:rsidR="00B4603A">
      <w:rPr>
        <w:noProof/>
      </w:rPr>
      <w:t>3</w:t>
    </w:r>
    <w:r w:rsidRPr="00DB5875">
      <w:fldChar w:fldCharType="end"/>
    </w:r>
    <w:r w:rsidRPr="00DB5875">
      <w:t>/</w:t>
    </w:r>
    <w:fldSimple w:instr=" NUMPAGES  \* MERGEFORMAT ">
      <w:r w:rsidR="00B4603A">
        <w:rPr>
          <w:noProof/>
        </w:rPr>
        <w:t>4</w:t>
      </w:r>
    </w:fldSimple>
    <w:r w:rsidRPr="00DB5875">
      <w:tab/>
      <w:t>PE</w:t>
    </w:r>
    <w:r w:rsidRPr="00DB5875">
      <w:rPr>
        <w:rStyle w:val="HideTWBExt"/>
        <w:noProof w:val="0"/>
      </w:rPr>
      <w:t>&lt;NoPE&gt;</w:t>
    </w:r>
    <w:r w:rsidRPr="00DB5875">
      <w:t>691.118</w:t>
    </w:r>
    <w:r w:rsidRPr="00DB5875">
      <w:rPr>
        <w:rStyle w:val="HideTWBExt"/>
        <w:noProof w:val="0"/>
      </w:rPr>
      <w:t>&lt;/NoPE&gt;&lt;Version&gt;</w:t>
    </w:r>
    <w:r w:rsidRPr="00DB5875">
      <w:t>v01-00</w:t>
    </w:r>
    <w:r w:rsidRPr="00DB5875">
      <w:rPr>
        <w:rStyle w:val="HideTWBExt"/>
        <w:noProof w:val="0"/>
      </w:rPr>
      <w:t>&lt;/Version&gt;</w:t>
    </w:r>
  </w:p>
  <w:p w:rsidR="00515EFE" w:rsidRPr="00DB5875" w:rsidRDefault="00DB5875" w:rsidP="00DB5875">
    <w:pPr>
      <w:pStyle w:val="EPFooter2"/>
    </w:pPr>
    <w:r w:rsidRPr="00DB5875">
      <w:tab/>
    </w:r>
    <w:r w:rsidRPr="00DB5875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75" w:rsidRPr="00DB5875" w:rsidRDefault="00DB5875" w:rsidP="00DB5875">
    <w:pPr>
      <w:pStyle w:val="EPFooter"/>
    </w:pPr>
    <w:r w:rsidRPr="00DB5875">
      <w:rPr>
        <w:rStyle w:val="HideTWBExt"/>
        <w:noProof w:val="0"/>
      </w:rPr>
      <w:t>&lt;PathFdR&gt;</w:t>
    </w:r>
    <w:r w:rsidRPr="00DB5875">
      <w:t>CM\1227630PL.docx</w:t>
    </w:r>
    <w:r w:rsidRPr="00DB5875">
      <w:rPr>
        <w:rStyle w:val="HideTWBExt"/>
        <w:noProof w:val="0"/>
      </w:rPr>
      <w:t>&lt;/PathFdR&gt;</w:t>
    </w:r>
    <w:r w:rsidRPr="00DB5875">
      <w:tab/>
    </w:r>
    <w:r w:rsidRPr="00DB5875">
      <w:tab/>
      <w:t>PE</w:t>
    </w:r>
    <w:r w:rsidRPr="00DB5875">
      <w:rPr>
        <w:rStyle w:val="HideTWBExt"/>
        <w:noProof w:val="0"/>
      </w:rPr>
      <w:t>&lt;NoPE&gt;</w:t>
    </w:r>
    <w:r w:rsidRPr="00DB5875">
      <w:t>691.118</w:t>
    </w:r>
    <w:r w:rsidRPr="00DB5875">
      <w:rPr>
        <w:rStyle w:val="HideTWBExt"/>
        <w:noProof w:val="0"/>
      </w:rPr>
      <w:t>&lt;/NoPE&gt;&lt;Version&gt;</w:t>
    </w:r>
    <w:r w:rsidRPr="00DB5875">
      <w:t>v01-00</w:t>
    </w:r>
    <w:r w:rsidRPr="00DB5875">
      <w:rPr>
        <w:rStyle w:val="HideTWBExt"/>
        <w:noProof w:val="0"/>
      </w:rPr>
      <w:t>&lt;/Version&gt;</w:t>
    </w:r>
  </w:p>
  <w:p w:rsidR="00515EFE" w:rsidRPr="00DB5875" w:rsidRDefault="00DB5875" w:rsidP="00DB5875">
    <w:pPr>
      <w:pStyle w:val="EPFooter2"/>
    </w:pPr>
    <w:r w:rsidRPr="00DB5875">
      <w:t>PL</w:t>
    </w:r>
    <w:r w:rsidRPr="00DB5875">
      <w:tab/>
    </w:r>
    <w:r w:rsidRPr="00DB5875">
      <w:rPr>
        <w:b w:val="0"/>
        <w:i/>
        <w:color w:val="C0C0C0"/>
        <w:sz w:val="22"/>
      </w:rPr>
      <w:t>Zjednoczona w różnorodności</w:t>
    </w:r>
    <w:r w:rsidRPr="00DB5875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79" w:rsidRPr="00DB5875" w:rsidRDefault="005868E7">
      <w:r w:rsidRPr="00DB5875">
        <w:separator/>
      </w:r>
    </w:p>
  </w:footnote>
  <w:footnote w:type="continuationSeparator" w:id="0">
    <w:p w:rsidR="00271379" w:rsidRPr="00DB5875" w:rsidRDefault="005868E7">
      <w:r w:rsidRPr="00DB5875">
        <w:continuationSeparator/>
      </w:r>
    </w:p>
  </w:footnote>
  <w:footnote w:id="1">
    <w:p w:rsidR="00214EBC" w:rsidRPr="00DB5875" w:rsidRDefault="005868E7" w:rsidP="00214EBC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DB5875">
        <w:rPr>
          <w:sz w:val="20"/>
          <w:szCs w:val="20"/>
        </w:rPr>
        <w:footnoteRef/>
      </w:r>
      <w:r w:rsidRPr="00DB5875">
        <w:rPr>
          <w:sz w:val="20"/>
        </w:rPr>
        <w:t xml:space="preserve"> Dyrektywa Parlamentu Europejskiego i Rady 2014/52/UE z dnia 16 kwietnia 2014 r. zmieniająca dyrektywę 2011/92/UE w sprawie oceny wpływu wywieranego przez niektóre przedsięwzięcia publiczne i prywatne na środowisko (Tekst mający znaczenie dla EOG), </w:t>
      </w:r>
      <w:r w:rsidRPr="00DB5875">
        <w:rPr>
          <w:rStyle w:val="Emphasis"/>
          <w:i w:val="0"/>
          <w:sz w:val="20"/>
        </w:rPr>
        <w:t>Dz.U. L 124 z 25.4.2014, s. 1–18.</w:t>
      </w:r>
    </w:p>
  </w:footnote>
  <w:footnote w:id="2">
    <w:p w:rsidR="00214EBC" w:rsidRPr="00DB5875" w:rsidRDefault="005868E7" w:rsidP="00214EBC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DB5875">
        <w:rPr>
          <w:sz w:val="20"/>
          <w:szCs w:val="20"/>
        </w:rPr>
        <w:footnoteRef/>
      </w:r>
      <w:r w:rsidRPr="00DB5875">
        <w:rPr>
          <w:sz w:val="20"/>
        </w:rPr>
        <w:t xml:space="preserve"> Dyrektywa 2001/42/WE Parlamentu Europejskiego i Rady z dnia 27 czerwca 2001 r. w sprawie oceny wpływu niektórych planów i programów na środowisko, </w:t>
      </w:r>
      <w:r w:rsidRPr="00DB5875">
        <w:rPr>
          <w:rStyle w:val="Emphasis"/>
          <w:i w:val="0"/>
          <w:sz w:val="20"/>
        </w:rPr>
        <w:t>Dz.U. L 197 z 21.7.2001, s. 30–37.</w:t>
      </w:r>
    </w:p>
  </w:footnote>
  <w:footnote w:id="3">
    <w:p w:rsidR="00214EBC" w:rsidRPr="00DB5875" w:rsidRDefault="005868E7" w:rsidP="00214EBC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DB5875">
        <w:rPr>
          <w:sz w:val="20"/>
          <w:szCs w:val="20"/>
        </w:rPr>
        <w:footnoteRef/>
      </w:r>
      <w:r w:rsidRPr="00DB5875">
        <w:rPr>
          <w:sz w:val="20"/>
        </w:rPr>
        <w:t xml:space="preserve"> Dyrektywa 2003/4/WE Parlamentu Europejskiego i Rady z dnia 28 stycznia 2003 r. w sprawie publicznego dostępu do informacji dotyczących środowiska i uchylająca dyrektywę Rady 90/313/EWG, </w:t>
      </w:r>
      <w:r w:rsidRPr="00DB5875">
        <w:rPr>
          <w:rStyle w:val="Emphasis"/>
          <w:i w:val="0"/>
          <w:sz w:val="20"/>
        </w:rPr>
        <w:t>Dz.U. L 41 z 14.2.2003, s. 26–32.</w:t>
      </w:r>
    </w:p>
  </w:footnote>
  <w:footnote w:id="4">
    <w:p w:rsidR="00214EBC" w:rsidRPr="00DB5875" w:rsidRDefault="005868E7" w:rsidP="00214EBC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DB5875">
        <w:rPr>
          <w:sz w:val="20"/>
          <w:szCs w:val="20"/>
        </w:rPr>
        <w:footnoteRef/>
      </w:r>
      <w:r w:rsidRPr="00DB5875">
        <w:rPr>
          <w:sz w:val="20"/>
        </w:rPr>
        <w:t xml:space="preserve"> Dyrektywa 2000/60/WE Parlamentu Europejskiego i Rady z dnia 23 października 2000 r. ustanawiająca ramy wspólnotowego działania w dziedzinie polityki wodnej, </w:t>
      </w:r>
      <w:r w:rsidRPr="00DB5875">
        <w:rPr>
          <w:rStyle w:val="Emphasis"/>
          <w:i w:val="0"/>
          <w:sz w:val="20"/>
        </w:rPr>
        <w:t>Dz.U. L 327 z 22.12.2000, s. 1–73.</w:t>
      </w:r>
    </w:p>
  </w:footnote>
  <w:footnote w:id="5">
    <w:p w:rsidR="00214EBC" w:rsidRPr="00DB5875" w:rsidRDefault="005868E7" w:rsidP="00214EBC">
      <w:pPr>
        <w:jc w:val="both"/>
        <w:rPr>
          <w:sz w:val="20"/>
        </w:rPr>
      </w:pPr>
      <w:r w:rsidRPr="00DB5875">
        <w:rPr>
          <w:sz w:val="20"/>
        </w:rPr>
        <w:footnoteRef/>
      </w:r>
      <w:r w:rsidRPr="00DB5875">
        <w:rPr>
          <w:sz w:val="20"/>
        </w:rPr>
        <w:t xml:space="preserve"> COM(2020) 22 final</w:t>
      </w:r>
    </w:p>
  </w:footnote>
  <w:footnote w:id="6">
    <w:p w:rsidR="00214EBC" w:rsidRPr="00DB5875" w:rsidRDefault="005868E7" w:rsidP="00214EBC">
      <w:pPr>
        <w:jc w:val="both"/>
        <w:rPr>
          <w:sz w:val="20"/>
        </w:rPr>
      </w:pPr>
      <w:r w:rsidRPr="00DB5875">
        <w:rPr>
          <w:sz w:val="20"/>
        </w:rPr>
        <w:footnoteRef/>
      </w:r>
      <w:r w:rsidRPr="00DB5875">
        <w:rPr>
          <w:sz w:val="20"/>
        </w:rPr>
        <w:t xml:space="preserve"> </w:t>
      </w:r>
      <w:hyperlink r:id="rId1" w:history="1">
        <w:r w:rsidRPr="00DB5875">
          <w:rPr>
            <w:rStyle w:val="Hyperlink"/>
            <w:sz w:val="20"/>
          </w:rPr>
          <w:t>https://ec.europa.eu/energy/topics/oil-gas-and-coal/EU-coal-regions/coal-regions-transition_en</w:t>
        </w:r>
      </w:hyperlink>
      <w:r w:rsidRPr="00DB5875">
        <w:rPr>
          <w:sz w:val="20"/>
        </w:rPr>
        <w:t>.</w:t>
      </w:r>
    </w:p>
  </w:footnote>
  <w:footnote w:id="7">
    <w:p w:rsidR="00214EBC" w:rsidRPr="00DB5875" w:rsidRDefault="005868E7" w:rsidP="00214EBC">
      <w:pPr>
        <w:jc w:val="both"/>
        <w:rPr>
          <w:sz w:val="20"/>
        </w:rPr>
      </w:pPr>
      <w:r w:rsidRPr="00DB5875">
        <w:rPr>
          <w:sz w:val="20"/>
        </w:rPr>
        <w:footnoteRef/>
      </w:r>
      <w:r w:rsidRPr="00DB5875">
        <w:rPr>
          <w:sz w:val="20"/>
        </w:rPr>
        <w:t xml:space="preserve"> Informacje dostępne na stronie internetowej: </w:t>
      </w:r>
      <w:hyperlink r:id="rId2" w:history="1">
        <w:r w:rsidRPr="00DB5875">
          <w:rPr>
            <w:rStyle w:val="Hyperlink"/>
            <w:sz w:val="20"/>
          </w:rPr>
          <w:t>http://curia.europa.eu</w:t>
        </w:r>
      </w:hyperlink>
      <w:r w:rsidRPr="00DB5875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3A" w:rsidRDefault="00B46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3A" w:rsidRDefault="00B46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3A" w:rsidRDefault="00B46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95D34"/>
    <w:multiLevelType w:val="hybridMultilevel"/>
    <w:tmpl w:val="D6007338"/>
    <w:lvl w:ilvl="0" w:tplc="B510AEDE">
      <w:start w:val="1"/>
      <w:numFmt w:val="decimal"/>
      <w:lvlText w:val="(%1)"/>
      <w:lvlJc w:val="left"/>
      <w:pPr>
        <w:ind w:left="360" w:hanging="360"/>
      </w:pPr>
    </w:lvl>
    <w:lvl w:ilvl="1" w:tplc="E892AF04">
      <w:start w:val="1"/>
      <w:numFmt w:val="lowerLetter"/>
      <w:lvlText w:val="%2."/>
      <w:lvlJc w:val="left"/>
      <w:pPr>
        <w:ind w:left="1080" w:hanging="360"/>
      </w:pPr>
    </w:lvl>
    <w:lvl w:ilvl="2" w:tplc="B55C2438">
      <w:start w:val="1"/>
      <w:numFmt w:val="lowerRoman"/>
      <w:lvlText w:val="%3."/>
      <w:lvlJc w:val="right"/>
      <w:pPr>
        <w:ind w:left="1800" w:hanging="180"/>
      </w:pPr>
    </w:lvl>
    <w:lvl w:ilvl="3" w:tplc="D850EDE2">
      <w:start w:val="1"/>
      <w:numFmt w:val="decimal"/>
      <w:lvlText w:val="%4."/>
      <w:lvlJc w:val="left"/>
      <w:pPr>
        <w:ind w:left="2520" w:hanging="360"/>
      </w:pPr>
    </w:lvl>
    <w:lvl w:ilvl="4" w:tplc="8D5444F0">
      <w:start w:val="1"/>
      <w:numFmt w:val="lowerLetter"/>
      <w:lvlText w:val="%5."/>
      <w:lvlJc w:val="left"/>
      <w:pPr>
        <w:ind w:left="3240" w:hanging="360"/>
      </w:pPr>
    </w:lvl>
    <w:lvl w:ilvl="5" w:tplc="3140CA10">
      <w:start w:val="1"/>
      <w:numFmt w:val="lowerRoman"/>
      <w:lvlText w:val="%6."/>
      <w:lvlJc w:val="right"/>
      <w:pPr>
        <w:ind w:left="3960" w:hanging="180"/>
      </w:pPr>
    </w:lvl>
    <w:lvl w:ilvl="6" w:tplc="78D874FE">
      <w:start w:val="1"/>
      <w:numFmt w:val="decimal"/>
      <w:lvlText w:val="%7."/>
      <w:lvlJc w:val="left"/>
      <w:pPr>
        <w:ind w:left="4680" w:hanging="360"/>
      </w:pPr>
    </w:lvl>
    <w:lvl w:ilvl="7" w:tplc="A97680FA">
      <w:start w:val="1"/>
      <w:numFmt w:val="lowerLetter"/>
      <w:lvlText w:val="%8."/>
      <w:lvlJc w:val="left"/>
      <w:pPr>
        <w:ind w:left="5400" w:hanging="360"/>
      </w:pPr>
    </w:lvl>
    <w:lvl w:ilvl="8" w:tplc="80665F3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PAR3MNU" w:val=" 1"/>
    <w:docVar w:name="RECEIVED1MNU" w:val=" 1"/>
    <w:docVar w:name="strDocTypeID" w:val="CM_PETI"/>
    <w:docVar w:name="strSubDir" w:val="1227"/>
    <w:docVar w:name="TXTLANGUE" w:val="EN"/>
    <w:docVar w:name="TXTLANGUEMIN" w:val="en"/>
    <w:docVar w:name="TXTNRPE" w:val="691.118"/>
    <w:docVar w:name="TXTPEorAP" w:val="PE"/>
    <w:docVar w:name="TXTROUTE" w:val="CM\1227630EN.docx"/>
    <w:docVar w:name="TXTVERSION" w:val="01-00"/>
  </w:docVars>
  <w:rsids>
    <w:rsidRoot w:val="00271379"/>
    <w:rsid w:val="00005580"/>
    <w:rsid w:val="00021877"/>
    <w:rsid w:val="000B1FCF"/>
    <w:rsid w:val="000C55C2"/>
    <w:rsid w:val="000F177C"/>
    <w:rsid w:val="00113F15"/>
    <w:rsid w:val="00146D0F"/>
    <w:rsid w:val="00165FF0"/>
    <w:rsid w:val="00184435"/>
    <w:rsid w:val="00197354"/>
    <w:rsid w:val="001B4EE5"/>
    <w:rsid w:val="00210517"/>
    <w:rsid w:val="00214EBC"/>
    <w:rsid w:val="0026650F"/>
    <w:rsid w:val="00271379"/>
    <w:rsid w:val="00293A67"/>
    <w:rsid w:val="002D1C23"/>
    <w:rsid w:val="0036659A"/>
    <w:rsid w:val="00374CF2"/>
    <w:rsid w:val="003D4BEC"/>
    <w:rsid w:val="003E5164"/>
    <w:rsid w:val="003F0B55"/>
    <w:rsid w:val="004B3DD0"/>
    <w:rsid w:val="004B68CD"/>
    <w:rsid w:val="004E3E40"/>
    <w:rsid w:val="00515EFE"/>
    <w:rsid w:val="00583711"/>
    <w:rsid w:val="005868E7"/>
    <w:rsid w:val="00586F3B"/>
    <w:rsid w:val="005C0287"/>
    <w:rsid w:val="005D2B42"/>
    <w:rsid w:val="005E2BFF"/>
    <w:rsid w:val="005F3572"/>
    <w:rsid w:val="00666D8D"/>
    <w:rsid w:val="006E2B69"/>
    <w:rsid w:val="00714E91"/>
    <w:rsid w:val="00727E87"/>
    <w:rsid w:val="00737D2D"/>
    <w:rsid w:val="00740B60"/>
    <w:rsid w:val="00742098"/>
    <w:rsid w:val="00770F7E"/>
    <w:rsid w:val="007F328A"/>
    <w:rsid w:val="00892FAD"/>
    <w:rsid w:val="008A7531"/>
    <w:rsid w:val="0093010C"/>
    <w:rsid w:val="00930145"/>
    <w:rsid w:val="009434F7"/>
    <w:rsid w:val="00967CC6"/>
    <w:rsid w:val="0098672A"/>
    <w:rsid w:val="009A7D47"/>
    <w:rsid w:val="00A31762"/>
    <w:rsid w:val="00AF73CF"/>
    <w:rsid w:val="00B4603A"/>
    <w:rsid w:val="00BA398B"/>
    <w:rsid w:val="00BB70B2"/>
    <w:rsid w:val="00C26FE8"/>
    <w:rsid w:val="00C71A0F"/>
    <w:rsid w:val="00C85D0F"/>
    <w:rsid w:val="00D0655B"/>
    <w:rsid w:val="00D339E0"/>
    <w:rsid w:val="00D85B3A"/>
    <w:rsid w:val="00D9553F"/>
    <w:rsid w:val="00DB5875"/>
    <w:rsid w:val="00DC7A3F"/>
    <w:rsid w:val="00DF6B1C"/>
    <w:rsid w:val="00E1684E"/>
    <w:rsid w:val="00EE6762"/>
    <w:rsid w:val="00E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3C587-BC2C-466D-8871-8907F46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semiHidden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E5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rsid w:val="00197354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Name">
    <w:name w:val="EPName"/>
    <w:basedOn w:val="Normal"/>
    <w:rsid w:val="005D2B4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NormalBoldHanging12a">
    <w:name w:val="NormalBoldHanging12a"/>
    <w:basedOn w:val="Normal"/>
    <w:rsid w:val="005F3572"/>
    <w:pPr>
      <w:spacing w:after="240"/>
      <w:ind w:left="567" w:hanging="567"/>
    </w:pPr>
    <w:rPr>
      <w:b/>
    </w:rPr>
  </w:style>
  <w:style w:type="paragraph" w:customStyle="1" w:styleId="HeadingSubject">
    <w:name w:val="HeadingSubject"/>
    <w:basedOn w:val="Normal"/>
    <w:rsid w:val="005F3572"/>
    <w:pPr>
      <w:spacing w:before="720" w:after="480"/>
      <w:ind w:left="1134" w:hanging="1134"/>
    </w:pPr>
    <w:rPr>
      <w:b/>
      <w:szCs w:val="24"/>
    </w:rPr>
  </w:style>
  <w:style w:type="paragraph" w:customStyle="1" w:styleId="HeadingDateNoRef">
    <w:name w:val="HeadingDateNoRef"/>
    <w:basedOn w:val="Normal"/>
    <w:rsid w:val="00AF73CF"/>
    <w:pPr>
      <w:spacing w:before="1320" w:after="240"/>
    </w:pPr>
  </w:style>
  <w:style w:type="paragraph" w:customStyle="1" w:styleId="HeadingDocType">
    <w:name w:val="HeadingDocType"/>
    <w:basedOn w:val="Normal"/>
    <w:rsid w:val="0098672A"/>
    <w:pPr>
      <w:jc w:val="center"/>
    </w:pPr>
    <w:rPr>
      <w:rFonts w:ascii="Arial" w:hAnsi="Arial"/>
      <w:b/>
      <w:sz w:val="48"/>
    </w:rPr>
  </w:style>
  <w:style w:type="table" w:styleId="TableGrid">
    <w:name w:val="Table Grid"/>
    <w:basedOn w:val="TableNormal"/>
    <w:rsid w:val="0058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3D4BEC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586F3B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2D1C23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5D2B4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D2B42"/>
    <w:pPr>
      <w:jc w:val="right"/>
    </w:pPr>
  </w:style>
  <w:style w:type="paragraph" w:customStyle="1" w:styleId="EPFooter">
    <w:name w:val="EPFooter"/>
    <w:basedOn w:val="Normal"/>
    <w:rsid w:val="00EE6762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Header">
    <w:name w:val="header"/>
    <w:basedOn w:val="Normal"/>
    <w:link w:val="HeaderChar"/>
    <w:semiHidden/>
    <w:rsid w:val="00EE6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40B60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83711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214E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4EBC"/>
    <w:pPr>
      <w:widowControl/>
      <w:spacing w:before="100" w:beforeAutospacing="1" w:after="100" w:afterAutospacing="1"/>
    </w:pPr>
    <w:rPr>
      <w:szCs w:val="24"/>
      <w:lang w:eastAsia="en-IE"/>
    </w:rPr>
  </w:style>
  <w:style w:type="paragraph" w:styleId="Footer">
    <w:name w:val="footer"/>
    <w:basedOn w:val="Normal"/>
    <w:link w:val="FooterChar"/>
    <w:semiHidden/>
    <w:rsid w:val="00214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214EBC"/>
    <w:rPr>
      <w:sz w:val="24"/>
    </w:rPr>
  </w:style>
  <w:style w:type="character" w:styleId="Emphasis">
    <w:name w:val="Emphasis"/>
    <w:basedOn w:val="DefaultParagraphFont"/>
    <w:uiPriority w:val="20"/>
    <w:qFormat/>
    <w:rsid w:val="00214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pl/IP_20_245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uria.europa.eu" TargetMode="External"/><Relationship Id="rId1" Type="http://schemas.openxmlformats.org/officeDocument/2006/relationships/hyperlink" Target="https://ec.europa.eu/energy/topics/oil-gas-and-coal/EU-coal-regions/coal-regions-transition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8123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CM_PETI</vt:lpstr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CM_PETI</dc:title>
  <dc:creator>Author</dc:creator>
  <cp:lastModifiedBy>KLIMKOWSKI Andrzej</cp:lastModifiedBy>
  <cp:revision>2</cp:revision>
  <cp:lastPrinted>2005-02-25T11:09:00Z</cp:lastPrinted>
  <dcterms:created xsi:type="dcterms:W3CDTF">2021-05-07T08:43:00Z</dcterms:created>
  <dcterms:modified xsi:type="dcterms:W3CDTF">2021-05-07T08:43:00Z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1227630</vt:lpwstr>
  </property>
  <property fmtid="{D5CDD505-2E9C-101B-9397-08002B2CF9AE}" pid="3" name="&lt;Model&gt;">
    <vt:lpwstr>CM_PETI</vt:lpwstr>
  </property>
  <property fmtid="{D5CDD505-2E9C-101B-9397-08002B2CF9AE}" pid="4" name="&lt;ModelCod&gt;">
    <vt:lpwstr>\\eiciBRUpr1\pdocep$\DocEP\DOCS\General\CM\CM_PETI.dotx(17/04/2020 18:26:05)</vt:lpwstr>
  </property>
  <property fmtid="{D5CDD505-2E9C-101B-9397-08002B2CF9AE}" pid="5" name="&lt;ModelTra&gt;">
    <vt:lpwstr>\\eiciBRUpr1\pdocep$\DocEP\TRANSFIL\EN\CM_PETI.EN(27/08/2019 12:48:00)</vt:lpwstr>
  </property>
  <property fmtid="{D5CDD505-2E9C-101B-9397-08002B2CF9AE}" pid="6" name="&lt;Type&gt;">
    <vt:lpwstr>CM</vt:lpwstr>
  </property>
  <property fmtid="{D5CDD505-2E9C-101B-9397-08002B2CF9AE}" pid="7" name="Created with">
    <vt:lpwstr>9.9.1 Build [20200705]</vt:lpwstr>
  </property>
  <property fmtid="{D5CDD505-2E9C-101B-9397-08002B2CF9AE}" pid="8" name="FooterPath">
    <vt:lpwstr>CM\1227630PL.docx</vt:lpwstr>
  </property>
  <property fmtid="{D5CDD505-2E9C-101B-9397-08002B2CF9AE}" pid="9" name="LastEdited with">
    <vt:lpwstr>9.9.1 Build [20200705]</vt:lpwstr>
  </property>
  <property fmtid="{D5CDD505-2E9C-101B-9397-08002B2CF9AE}" pid="10" name="PE number">
    <vt:lpwstr>691.118</vt:lpwstr>
  </property>
  <property fmtid="{D5CDD505-2E9C-101B-9397-08002B2CF9AE}" pid="11" name="SendToEpades">
    <vt:lpwstr>OK - 2021/03/26 16:02</vt:lpwstr>
  </property>
  <property fmtid="{D5CDD505-2E9C-101B-9397-08002B2CF9AE}" pid="12" name="SDLStudio">
    <vt:lpwstr/>
  </property>
  <property fmtid="{D5CDD505-2E9C-101B-9397-08002B2CF9AE}" pid="13" name="&lt;Extension&gt;">
    <vt:lpwstr>PL</vt:lpwstr>
  </property>
</Properties>
</file>